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47" w:rsidRPr="00FD3092" w:rsidRDefault="00BF7847" w:rsidP="00BF7847">
      <w:pPr>
        <w:jc w:val="center"/>
        <w:rPr>
          <w:b/>
          <w:sz w:val="22"/>
          <w:szCs w:val="22"/>
        </w:rPr>
      </w:pPr>
      <w:r w:rsidRPr="00FD3092">
        <w:rPr>
          <w:b/>
          <w:sz w:val="22"/>
          <w:szCs w:val="22"/>
        </w:rPr>
        <w:t>Alternative Placement Policy</w:t>
      </w:r>
    </w:p>
    <w:p w:rsidR="00BF7847" w:rsidRPr="00FD3092" w:rsidRDefault="00BF7847" w:rsidP="00BF7847">
      <w:pPr>
        <w:jc w:val="center"/>
        <w:rPr>
          <w:sz w:val="22"/>
          <w:szCs w:val="22"/>
        </w:rPr>
      </w:pPr>
      <w:r w:rsidRPr="00FD3092">
        <w:rPr>
          <w:sz w:val="22"/>
          <w:szCs w:val="22"/>
        </w:rPr>
        <w:t>Department of Teaching</w:t>
      </w:r>
    </w:p>
    <w:p w:rsidR="00BF7847" w:rsidRPr="00FD3092" w:rsidRDefault="00BF7847" w:rsidP="00BF7847">
      <w:pPr>
        <w:jc w:val="center"/>
        <w:rPr>
          <w:sz w:val="22"/>
          <w:szCs w:val="22"/>
        </w:rPr>
      </w:pPr>
      <w:r w:rsidRPr="00FD3092">
        <w:rPr>
          <w:sz w:val="22"/>
          <w:szCs w:val="22"/>
        </w:rPr>
        <w:t>Office of Student Field Experiences</w:t>
      </w:r>
    </w:p>
    <w:p w:rsidR="00BF7847" w:rsidRPr="00FD3092" w:rsidRDefault="00BF7847" w:rsidP="00BF7847">
      <w:pPr>
        <w:jc w:val="center"/>
        <w:rPr>
          <w:sz w:val="22"/>
          <w:szCs w:val="22"/>
        </w:rPr>
      </w:pPr>
      <w:r w:rsidRPr="00FD3092">
        <w:rPr>
          <w:sz w:val="22"/>
          <w:szCs w:val="22"/>
        </w:rPr>
        <w:t>University of Northern Iowa</w:t>
      </w:r>
    </w:p>
    <w:p w:rsidR="00BF7847" w:rsidRPr="00FD3092" w:rsidRDefault="00BF7847" w:rsidP="00BF7847">
      <w:pPr>
        <w:jc w:val="center"/>
        <w:rPr>
          <w:sz w:val="22"/>
          <w:szCs w:val="22"/>
        </w:rPr>
      </w:pPr>
    </w:p>
    <w:p w:rsidR="00BF7847" w:rsidRPr="00FD3092" w:rsidRDefault="00BF7847" w:rsidP="00BF7847">
      <w:pPr>
        <w:rPr>
          <w:sz w:val="22"/>
          <w:szCs w:val="22"/>
        </w:rPr>
      </w:pPr>
      <w:r w:rsidRPr="00FD3092">
        <w:rPr>
          <w:sz w:val="22"/>
          <w:szCs w:val="22"/>
        </w:rPr>
        <w:t xml:space="preserve">Your University has regional student teaching centers for the placement of student teachers. On occasion, for personal and academic reasons, a student requests a student teaching placement outside the boundaries of the designated regions. The request is reviewed carefully. If the student is academically eligible and has all program requirements completed, the candidate’s application and request for an out-of-region placement will be considered. Prior to any decision on placement outside the established centers, consultation may occur with the major department, student’s advisor, and the Director of Teacher Education. Consideration of special arrangement with another teacher preparation institution and/or school district may be pursued. </w:t>
      </w:r>
    </w:p>
    <w:p w:rsidR="00B97156" w:rsidRDefault="00B97156">
      <w:bookmarkStart w:id="0" w:name="_GoBack"/>
      <w:bookmarkEnd w:id="0"/>
    </w:p>
    <w:p w:rsidR="00BF7847" w:rsidRPr="00FD3092" w:rsidRDefault="00BF7847" w:rsidP="00BF7847">
      <w:pPr>
        <w:rPr>
          <w:sz w:val="22"/>
          <w:szCs w:val="22"/>
        </w:rPr>
      </w:pPr>
      <w:r w:rsidRPr="00FD3092">
        <w:rPr>
          <w:sz w:val="22"/>
          <w:szCs w:val="22"/>
        </w:rPr>
        <w:t xml:space="preserve">If an acceptable alternative can be scheduled, and this is done only by the Office of Student Field Experiences (OSFE), the student will be notified of the specifics of the placement. The student will, at this time, need to decide to either accept the alternative or be assigned to a placement in the home universities designated regions. </w:t>
      </w:r>
    </w:p>
    <w:p w:rsidR="00BF7847" w:rsidRPr="00FD3092" w:rsidRDefault="00BF7847" w:rsidP="00BF7847">
      <w:pPr>
        <w:rPr>
          <w:sz w:val="22"/>
          <w:szCs w:val="22"/>
        </w:rPr>
      </w:pPr>
    </w:p>
    <w:p w:rsidR="00BF7847" w:rsidRPr="00FD3092" w:rsidRDefault="00BF7847" w:rsidP="00BF7847">
      <w:pPr>
        <w:rPr>
          <w:sz w:val="22"/>
          <w:szCs w:val="22"/>
        </w:rPr>
      </w:pPr>
      <w:r w:rsidRPr="00FD3092">
        <w:rPr>
          <w:sz w:val="22"/>
          <w:szCs w:val="22"/>
        </w:rPr>
        <w:t>If the student accepts the alternative placement, the student recognizes and understands the following:</w:t>
      </w:r>
    </w:p>
    <w:p w:rsidR="00BF7847" w:rsidRPr="00FD3092" w:rsidRDefault="00BF7847" w:rsidP="00BF7847">
      <w:pPr>
        <w:numPr>
          <w:ilvl w:val="0"/>
          <w:numId w:val="1"/>
        </w:numPr>
        <w:rPr>
          <w:sz w:val="22"/>
          <w:szCs w:val="22"/>
        </w:rPr>
      </w:pPr>
      <w:r w:rsidRPr="00FD3092">
        <w:rPr>
          <w:sz w:val="22"/>
          <w:szCs w:val="22"/>
        </w:rPr>
        <w:t>placement specifics and procedure may be different than at the home university;</w:t>
      </w:r>
    </w:p>
    <w:p w:rsidR="00BF7847" w:rsidRPr="00FD3092" w:rsidRDefault="00BF7847" w:rsidP="00BF7847">
      <w:pPr>
        <w:numPr>
          <w:ilvl w:val="0"/>
          <w:numId w:val="1"/>
        </w:numPr>
        <w:rPr>
          <w:sz w:val="22"/>
          <w:szCs w:val="22"/>
        </w:rPr>
      </w:pPr>
      <w:r w:rsidRPr="00FD3092">
        <w:rPr>
          <w:sz w:val="22"/>
          <w:szCs w:val="22"/>
        </w:rPr>
        <w:t>selection of the cooperative teachers may be out of the responsibility or jurisdiction of a professor/coordinator or the UNI office;</w:t>
      </w:r>
    </w:p>
    <w:p w:rsidR="00BF7847" w:rsidRPr="00FD3092" w:rsidRDefault="00BF7847" w:rsidP="00BF7847">
      <w:pPr>
        <w:numPr>
          <w:ilvl w:val="0"/>
          <w:numId w:val="1"/>
        </w:numPr>
        <w:rPr>
          <w:sz w:val="22"/>
          <w:szCs w:val="22"/>
        </w:rPr>
      </w:pPr>
      <w:r w:rsidRPr="00FD3092">
        <w:rPr>
          <w:sz w:val="22"/>
          <w:szCs w:val="22"/>
        </w:rPr>
        <w:t>placement calendar and time tables may be different from the home university;</w:t>
      </w:r>
    </w:p>
    <w:p w:rsidR="00BF7847" w:rsidRPr="00FD3092" w:rsidRDefault="00BF7847" w:rsidP="00BF7847">
      <w:pPr>
        <w:numPr>
          <w:ilvl w:val="0"/>
          <w:numId w:val="1"/>
        </w:numPr>
        <w:rPr>
          <w:sz w:val="22"/>
          <w:szCs w:val="22"/>
        </w:rPr>
      </w:pPr>
      <w:r w:rsidRPr="00FD3092">
        <w:rPr>
          <w:sz w:val="22"/>
          <w:szCs w:val="22"/>
        </w:rPr>
        <w:t>UNI professors/coordinator support system will only be available via email and telephone;</w:t>
      </w:r>
    </w:p>
    <w:p w:rsidR="00BF7847" w:rsidRPr="00FD3092" w:rsidRDefault="00BF7847" w:rsidP="00BF7847">
      <w:pPr>
        <w:numPr>
          <w:ilvl w:val="0"/>
          <w:numId w:val="1"/>
        </w:numPr>
        <w:rPr>
          <w:sz w:val="22"/>
          <w:szCs w:val="22"/>
        </w:rPr>
      </w:pPr>
      <w:r w:rsidRPr="00FD3092">
        <w:rPr>
          <w:sz w:val="22"/>
          <w:szCs w:val="22"/>
        </w:rPr>
        <w:t>approved UNI supervision will occur, but the frequency, quality, and mentoring of supervision will not be under the direct control of UNI;</w:t>
      </w:r>
    </w:p>
    <w:p w:rsidR="00BF7847" w:rsidRPr="00FD3092" w:rsidRDefault="00BF7847" w:rsidP="00BF7847">
      <w:pPr>
        <w:numPr>
          <w:ilvl w:val="0"/>
          <w:numId w:val="1"/>
        </w:numPr>
        <w:rPr>
          <w:sz w:val="22"/>
          <w:szCs w:val="22"/>
        </w:rPr>
      </w:pPr>
      <w:r w:rsidRPr="00FD3092">
        <w:rPr>
          <w:sz w:val="22"/>
          <w:szCs w:val="22"/>
        </w:rPr>
        <w:t>changes with cooperating teachers, classroom assignment, and scheduled hours may vary during the internship and not be facilitated by UNI coordinator;</w:t>
      </w:r>
    </w:p>
    <w:p w:rsidR="00BF7847" w:rsidRPr="00FD3092" w:rsidRDefault="00BF7847" w:rsidP="00BF7847">
      <w:pPr>
        <w:numPr>
          <w:ilvl w:val="0"/>
          <w:numId w:val="1"/>
        </w:numPr>
        <w:rPr>
          <w:sz w:val="22"/>
          <w:szCs w:val="22"/>
        </w:rPr>
      </w:pPr>
      <w:r w:rsidRPr="00FD3092">
        <w:rPr>
          <w:sz w:val="22"/>
          <w:szCs w:val="22"/>
        </w:rPr>
        <w:t>placement in out of the home university region may be individual and therefore student will not have UNI student group support system; and</w:t>
      </w:r>
    </w:p>
    <w:p w:rsidR="00BF7847" w:rsidRDefault="00BF7847" w:rsidP="00BF7847">
      <w:pPr>
        <w:numPr>
          <w:ilvl w:val="0"/>
          <w:numId w:val="1"/>
        </w:numPr>
        <w:rPr>
          <w:sz w:val="22"/>
          <w:szCs w:val="22"/>
        </w:rPr>
      </w:pPr>
      <w:r w:rsidRPr="00FD3092">
        <w:rPr>
          <w:sz w:val="22"/>
          <w:szCs w:val="22"/>
        </w:rPr>
        <w:t>Information from the student’s records will be made available to other schools to help determine a placement.</w:t>
      </w:r>
    </w:p>
    <w:p w:rsidR="00BF7847" w:rsidRDefault="00BF7847" w:rsidP="00BF7847">
      <w:pPr>
        <w:rPr>
          <w:sz w:val="22"/>
          <w:szCs w:val="22"/>
        </w:rPr>
      </w:pPr>
    </w:p>
    <w:p w:rsidR="00BF7847" w:rsidRPr="00FD3092" w:rsidRDefault="00BF7847" w:rsidP="00BF7847">
      <w:pPr>
        <w:rPr>
          <w:sz w:val="22"/>
          <w:szCs w:val="22"/>
        </w:rPr>
      </w:pPr>
      <w:r w:rsidRPr="00FD3092">
        <w:rPr>
          <w:sz w:val="22"/>
          <w:szCs w:val="22"/>
        </w:rPr>
        <w:t xml:space="preserve">Students accepting any alternative placement will still remain a student at the home university and therefore have the larger university unit as his or her academic institution. </w:t>
      </w:r>
    </w:p>
    <w:p w:rsidR="00BF7847" w:rsidRPr="00FD3092" w:rsidRDefault="00BF7847" w:rsidP="00BF7847">
      <w:pPr>
        <w:rPr>
          <w:sz w:val="22"/>
          <w:szCs w:val="22"/>
        </w:rPr>
      </w:pPr>
    </w:p>
    <w:p w:rsidR="00BF7847" w:rsidRPr="00FD3092" w:rsidRDefault="00BF7847" w:rsidP="00BF7847">
      <w:pPr>
        <w:rPr>
          <w:sz w:val="22"/>
          <w:szCs w:val="22"/>
        </w:rPr>
      </w:pPr>
      <w:r w:rsidRPr="00FD3092">
        <w:rPr>
          <w:sz w:val="22"/>
          <w:szCs w:val="22"/>
        </w:rPr>
        <w:t>I understand and accept the above conditions.  In addition, I specifically consent to the disclosure of any personally identifiable information from my education records to potential placement schools, as determined appropriate by UNI, to assist with the placement process.</w:t>
      </w:r>
    </w:p>
    <w:p w:rsidR="00BF7847" w:rsidRDefault="00BF7847" w:rsidP="00BF7847">
      <w:pPr>
        <w:rPr>
          <w:sz w:val="22"/>
          <w:szCs w:val="22"/>
        </w:rPr>
      </w:pPr>
    </w:p>
    <w:p w:rsidR="00BF7847" w:rsidRDefault="00BF7847" w:rsidP="00BF7847">
      <w:pPr>
        <w:jc w:val="right"/>
        <w:rPr>
          <w:sz w:val="22"/>
          <w:szCs w:val="22"/>
        </w:rPr>
      </w:pPr>
    </w:p>
    <w:p w:rsidR="00B55065" w:rsidRDefault="00B55065" w:rsidP="007B5038">
      <w:r>
        <w:t xml:space="preserve">Name: </w:t>
      </w:r>
      <w:r w:rsidR="003E363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6" o:title=""/>
          </v:shape>
          <w:control r:id="rId7" w:name="TextBox2" w:shapeid="_x0000_i1026"/>
        </w:object>
      </w:r>
    </w:p>
    <w:p w:rsidR="00B55065" w:rsidRDefault="00B55065" w:rsidP="007B5038"/>
    <w:p w:rsidR="00B55065" w:rsidRDefault="00B55065" w:rsidP="007B5038">
      <w:r>
        <w:t xml:space="preserve">Email Address </w:t>
      </w:r>
      <w:r w:rsidR="003E3639">
        <w:object w:dxaOrig="225" w:dyaOrig="225">
          <v:shape id="_x0000_i1028" type="#_x0000_t75" style="width:1in;height:18pt" o:ole="">
            <v:imagedata r:id="rId6" o:title=""/>
          </v:shape>
          <w:control r:id="rId8" w:name="TextBox3" w:shapeid="_x0000_i1028"/>
        </w:object>
      </w:r>
    </w:p>
    <w:p w:rsidR="00B55065" w:rsidRDefault="00B55065" w:rsidP="007B5038"/>
    <w:p w:rsidR="007B5038" w:rsidRPr="00B55065" w:rsidRDefault="007B5038" w:rsidP="00B55065">
      <w:r w:rsidRPr="007B5038">
        <w:t xml:space="preserve">Please indicate your affirmation by placing a CAPITAL X in this box </w:t>
      </w:r>
      <w:r w:rsidR="003E3639" w:rsidRPr="007B5038">
        <w:object w:dxaOrig="225" w:dyaOrig="225">
          <v:shape id="_x0000_i1030" type="#_x0000_t75" style="width:1in;height:18pt" o:ole="">
            <v:imagedata r:id="rId6" o:title=""/>
          </v:shape>
          <w:control r:id="rId9" w:name="TextBox1" w:shapeid="_x0000_i1030"/>
        </w:object>
      </w:r>
    </w:p>
    <w:p w:rsidR="007B5038" w:rsidRDefault="007B5038" w:rsidP="00BF7847">
      <w:pPr>
        <w:jc w:val="right"/>
        <w:rPr>
          <w:sz w:val="16"/>
          <w:szCs w:val="16"/>
        </w:rPr>
      </w:pPr>
    </w:p>
    <w:p w:rsidR="00BF7847" w:rsidRPr="00B55065" w:rsidRDefault="00B55065" w:rsidP="00B55065">
      <w:pPr>
        <w:jc w:val="right"/>
        <w:rPr>
          <w:sz w:val="16"/>
          <w:szCs w:val="16"/>
        </w:rPr>
      </w:pPr>
      <w:r w:rsidRPr="00BF7847">
        <w:rPr>
          <w:sz w:val="16"/>
          <w:szCs w:val="16"/>
        </w:rPr>
        <w:t xml:space="preserve">Updated </w:t>
      </w:r>
      <w:r>
        <w:rPr>
          <w:sz w:val="16"/>
          <w:szCs w:val="16"/>
        </w:rPr>
        <w:t>August 2010</w:t>
      </w:r>
    </w:p>
    <w:sectPr w:rsidR="00BF7847" w:rsidRPr="00B55065" w:rsidSect="00B9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6BA5"/>
    <w:multiLevelType w:val="hybridMultilevel"/>
    <w:tmpl w:val="27EE587E"/>
    <w:lvl w:ilvl="0" w:tplc="7958B7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7"/>
    <w:rsid w:val="003E3639"/>
    <w:rsid w:val="006B2035"/>
    <w:rsid w:val="00753E7B"/>
    <w:rsid w:val="007B5038"/>
    <w:rsid w:val="00A95405"/>
    <w:rsid w:val="00B55065"/>
    <w:rsid w:val="00B97156"/>
    <w:rsid w:val="00B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038"/>
    <w:rPr>
      <w:color w:val="808080"/>
    </w:rPr>
  </w:style>
  <w:style w:type="paragraph" w:styleId="BalloonText">
    <w:name w:val="Balloon Text"/>
    <w:basedOn w:val="Normal"/>
    <w:link w:val="BalloonTextChar"/>
    <w:uiPriority w:val="99"/>
    <w:semiHidden/>
    <w:unhideWhenUsed/>
    <w:rsid w:val="007B5038"/>
    <w:rPr>
      <w:rFonts w:ascii="Tahoma" w:hAnsi="Tahoma" w:cs="Tahoma"/>
      <w:sz w:val="16"/>
      <w:szCs w:val="16"/>
    </w:rPr>
  </w:style>
  <w:style w:type="character" w:customStyle="1" w:styleId="BalloonTextChar">
    <w:name w:val="Balloon Text Char"/>
    <w:basedOn w:val="DefaultParagraphFont"/>
    <w:link w:val="BalloonText"/>
    <w:uiPriority w:val="99"/>
    <w:semiHidden/>
    <w:rsid w:val="007B50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038"/>
    <w:rPr>
      <w:color w:val="808080"/>
    </w:rPr>
  </w:style>
  <w:style w:type="paragraph" w:styleId="BalloonText">
    <w:name w:val="Balloon Text"/>
    <w:basedOn w:val="Normal"/>
    <w:link w:val="BalloonTextChar"/>
    <w:uiPriority w:val="99"/>
    <w:semiHidden/>
    <w:unhideWhenUsed/>
    <w:rsid w:val="007B5038"/>
    <w:rPr>
      <w:rFonts w:ascii="Tahoma" w:hAnsi="Tahoma" w:cs="Tahoma"/>
      <w:sz w:val="16"/>
      <w:szCs w:val="16"/>
    </w:rPr>
  </w:style>
  <w:style w:type="character" w:customStyle="1" w:styleId="BalloonTextChar">
    <w:name w:val="Balloon Text Char"/>
    <w:basedOn w:val="DefaultParagraphFont"/>
    <w:link w:val="BalloonText"/>
    <w:uiPriority w:val="99"/>
    <w:semiHidden/>
    <w:rsid w:val="007B50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martinlc</dc:creator>
  <cp:lastModifiedBy>Leigh C Martin</cp:lastModifiedBy>
  <cp:revision>2</cp:revision>
  <dcterms:created xsi:type="dcterms:W3CDTF">2013-05-24T15:07:00Z</dcterms:created>
  <dcterms:modified xsi:type="dcterms:W3CDTF">2013-05-24T15:07:00Z</dcterms:modified>
</cp:coreProperties>
</file>